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C57A" w14:textId="77777777" w:rsidR="006E16AB" w:rsidRPr="006E16AB" w:rsidRDefault="006E16AB" w:rsidP="006E16AB">
      <w:r w:rsidRPr="006E16AB">
        <w:rPr>
          <w:b/>
          <w:bCs/>
        </w:rPr>
        <w:t>Manuale della Conservazione</w:t>
      </w:r>
    </w:p>
    <w:p w14:paraId="06DBCC90" w14:textId="77777777" w:rsidR="006E16AB" w:rsidRPr="006E16AB" w:rsidRDefault="006E16AB" w:rsidP="006E16AB">
      <w:r w:rsidRPr="006E16AB">
        <w:rPr>
          <w:b/>
          <w:bCs/>
        </w:rPr>
        <w:t>Versione:</w:t>
      </w:r>
      <w:r w:rsidRPr="006E16AB">
        <w:t xml:space="preserve"> 1.0</w:t>
      </w:r>
      <w:r w:rsidRPr="006E16AB">
        <w:br/>
      </w:r>
      <w:r w:rsidRPr="006E16AB">
        <w:rPr>
          <w:b/>
          <w:bCs/>
        </w:rPr>
        <w:t>Data di adozione:</w:t>
      </w:r>
      <w:r w:rsidRPr="006E16AB">
        <w:t xml:space="preserve"> [da compilare]</w:t>
      </w:r>
      <w:r w:rsidRPr="006E16AB">
        <w:br/>
      </w:r>
      <w:r w:rsidRPr="006E16AB">
        <w:rPr>
          <w:b/>
          <w:bCs/>
        </w:rPr>
        <w:t>Responsabile della Conservazione:</w:t>
      </w:r>
      <w:r w:rsidRPr="006E16AB">
        <w:t xml:space="preserve"> [Nome e Cognome]</w:t>
      </w:r>
      <w:r w:rsidRPr="006E16AB">
        <w:br/>
      </w:r>
      <w:r w:rsidRPr="006E16AB">
        <w:rPr>
          <w:b/>
          <w:bCs/>
        </w:rPr>
        <w:t>Studio professionale:</w:t>
      </w:r>
      <w:r w:rsidRPr="006E16AB">
        <w:t xml:space="preserve"> [Ragione sociale]</w:t>
      </w:r>
      <w:r w:rsidRPr="006E16AB">
        <w:br/>
      </w:r>
      <w:r w:rsidRPr="006E16AB">
        <w:rPr>
          <w:b/>
          <w:bCs/>
        </w:rPr>
        <w:t>Partita IVA:</w:t>
      </w:r>
      <w:r w:rsidRPr="006E16AB">
        <w:t xml:space="preserve"> [P. IVA]</w:t>
      </w:r>
      <w:r w:rsidRPr="006E16AB">
        <w:br/>
      </w:r>
      <w:r w:rsidRPr="006E16AB">
        <w:rPr>
          <w:b/>
          <w:bCs/>
        </w:rPr>
        <w:t>Sede legale:</w:t>
      </w:r>
      <w:r w:rsidRPr="006E16AB">
        <w:t xml:space="preserve"> [Indirizzo]</w:t>
      </w:r>
    </w:p>
    <w:p w14:paraId="394371BA" w14:textId="0B6B2956" w:rsidR="006E16AB" w:rsidRPr="006E16AB" w:rsidRDefault="006E16AB" w:rsidP="006E16AB"/>
    <w:p w14:paraId="6B6EB5FF" w14:textId="77777777" w:rsidR="006E16AB" w:rsidRPr="006E16AB" w:rsidRDefault="006E16AB" w:rsidP="006E16AB">
      <w:pPr>
        <w:rPr>
          <w:b/>
          <w:bCs/>
        </w:rPr>
      </w:pPr>
      <w:r w:rsidRPr="006E16AB">
        <w:rPr>
          <w:b/>
          <w:bCs/>
        </w:rPr>
        <w:t>Premessa</w:t>
      </w:r>
    </w:p>
    <w:p w14:paraId="1148F824" w14:textId="77777777" w:rsidR="006E16AB" w:rsidRPr="006E16AB" w:rsidRDefault="006E16AB" w:rsidP="006E16AB">
      <w:r w:rsidRPr="006E16AB">
        <w:t>Nell’attuale contesto normativo e operativo, la gestione documentale non può più essere intesa come una mera attività di archiviazione, né tantomeno come un’esigenza tecnica da delegare a strumenti informatici generici. Per uno studio professionale che opera quotidianamente a stretto contatto con documenti ad alta rilevanza giuridica, fiscale e personale, la corretta conservazione dei documenti informatici rappresenta un presidio essenziale di responsabilità, competenza e garanzia nei confronti dei clienti e degli enti pubblici.</w:t>
      </w:r>
    </w:p>
    <w:p w14:paraId="37644456" w14:textId="77777777" w:rsidR="006E16AB" w:rsidRPr="006E16AB" w:rsidRDefault="006E16AB" w:rsidP="006E16AB">
      <w:r w:rsidRPr="006E16AB">
        <w:t>Questo Manuale nasce con l’obiettivo di formalizzare e rendere trasparente l’intero processo di conservazione adottato dallo studio [nome dello studio], delineandone le modalità, i ruoli e le tecnologie impiegate. Ma prima ancora, esso intende comunicare una visione: quella di una gestione consapevole del patrimonio documentale, che non sia solo conforme alla norma, ma anche coerente con l’identità professionale dello studio, fondata su affidabilità, precisione e tutela del dato.</w:t>
      </w:r>
    </w:p>
    <w:p w14:paraId="1C9E671E" w14:textId="77777777" w:rsidR="006E16AB" w:rsidRPr="006E16AB" w:rsidRDefault="006E16AB" w:rsidP="006E16AB">
      <w:r w:rsidRPr="006E16AB">
        <w:t>La conservazione sostitutiva non è una funzione accessoria. È il punto d’arrivo di una filiera che inizia con la corretta formazione del documento, prosegue con la sua identificazione, classificazione, sottoscrizione digitale e tracciabilità, e si compie nella sua conservazione a norma, in un ambiente sicuro, protetto e interrogabile nel tempo. In questo senso, il sistema documentale diventa il riflesso dell’organizzazione dello studio, del suo assetto interno e del suo modo di intendere il rapporto fiduciario con il cliente.</w:t>
      </w:r>
    </w:p>
    <w:p w14:paraId="03E6B581" w14:textId="77777777" w:rsidR="006E16AB" w:rsidRPr="006E16AB" w:rsidRDefault="006E16AB" w:rsidP="006E16AB">
      <w:r w:rsidRPr="006E16AB">
        <w:t>Nel predisporre questo Manuale, lo studio ha scelto di non limitarsi ad adempiere a un obbligo normativo, ma di costruire uno strumento dinamico di governo, utile sia internamente (per il personale, i collaboratori, i referenti IT) sia esternamente (per gli auditor, i clienti, le autorità). Ogni sezione è pensata per rappresentare la reale operatività dello studio, in coerenza con i flussi documentali effettivi e con la struttura delle responsabilità adottate. Nessuna parte del processo è affidata all’improvvisazione: ogni fase, ogni versamento, ogni accesso è documentato, monitorato e inserito in un sistema che garantisce accountability e continuità operativa.</w:t>
      </w:r>
    </w:p>
    <w:p w14:paraId="44CDD3E7" w14:textId="77777777" w:rsidR="006E16AB" w:rsidRPr="006E16AB" w:rsidRDefault="006E16AB" w:rsidP="006E16AB">
      <w:r w:rsidRPr="006E16AB">
        <w:t>Particolare attenzione è riservata ai profili legati alla sicurezza dei dati e alla protezione della riservatezza, anche alla luce degli obblighi introdotti dal Regolamento UE 2016/679 (GDPR). I documenti conservati contengono spesso informazioni personali, sensibili, a volte giudiziarie. Lo studio è consapevole che la loro protezione non è solo un dovere legale, ma anche una responsabilità etica e deontologica.</w:t>
      </w:r>
    </w:p>
    <w:p w14:paraId="27472E0B" w14:textId="77777777" w:rsidR="006E16AB" w:rsidRPr="006E16AB" w:rsidRDefault="006E16AB" w:rsidP="006E16AB">
      <w:r w:rsidRPr="006E16AB">
        <w:t>Per queste ragioni, la conservazione digitale viene gestita come processo critico, non demandabile a scelte generiche o non presidiate. La scelta del conservatore esterno, quando presente, avviene solo previa valutazione di conformità alle regole tecniche AgID, con un contratto strutturato che prevede SLA minimi, tracciabilità, reversibilità e responsabilità documentate. La gestione interna, per contro, è affidata a personale competente, adeguatamente formato e costantemente aggiornato.</w:t>
      </w:r>
    </w:p>
    <w:p w14:paraId="70BE2FC3" w14:textId="77777777" w:rsidR="006E16AB" w:rsidRDefault="006E16AB" w:rsidP="006E16AB">
      <w:r w:rsidRPr="006E16AB">
        <w:t xml:space="preserve">Con questo Manuale, lo studio intende dotarsi non solo di un documento formale, ma di una cornice organizzativa chiara, coerente e dimostrabile, che possa resistere nel tempo e adattarsi alle evoluzioni normative e tecnologiche. Esso viene aggiornato periodicamente e revisionato ogniqualvolta intervengano modifiche che incidano sul perimetro della conservazione. Il Manuale non è, dunque, un documento statico, ma </w:t>
      </w:r>
      <w:r w:rsidRPr="006E16AB">
        <w:lastRenderedPageBreak/>
        <w:t>uno strumento vivo, che accompagna lo studio nel proprio percorso di evoluzione digitale, senza rinunciare alla qualità, alla trasparenza e alla piena responsabilità del proprio operato.</w:t>
      </w:r>
    </w:p>
    <w:p w14:paraId="3D386E40" w14:textId="77777777" w:rsidR="006E16AB" w:rsidRPr="006E16AB" w:rsidRDefault="006E16AB" w:rsidP="006E16AB"/>
    <w:p w14:paraId="4F6E8425" w14:textId="77777777" w:rsidR="006E16AB" w:rsidRPr="006E16AB" w:rsidRDefault="006E16AB" w:rsidP="006E16AB">
      <w:pPr>
        <w:rPr>
          <w:b/>
          <w:bCs/>
        </w:rPr>
      </w:pPr>
      <w:r w:rsidRPr="006E16AB">
        <w:rPr>
          <w:b/>
          <w:bCs/>
        </w:rPr>
        <w:t>1. Finalità del manuale</w:t>
      </w:r>
    </w:p>
    <w:p w14:paraId="5DD059E1" w14:textId="77777777" w:rsidR="006E16AB" w:rsidRDefault="006E16AB" w:rsidP="006E16AB">
      <w:r w:rsidRPr="006E16AB">
        <w:t>Il presente Manuale descrive l’organizzazione interna del processo di conservazione dei documenti informatici adottato dallo studio professionale, in attuazione di quanto previsto dall’art. 44 del D.Lgs. 82/2005 (CAD) e dal DPCM 3 dicembre 2013. Esso disciplina le modalità operative, i ruoli, le responsabilità e gli strumenti adottati per assicurare la conservazione a norma dei documenti fiscalmente e giuridicamente rilevanti.</w:t>
      </w:r>
    </w:p>
    <w:p w14:paraId="1042F468" w14:textId="77777777" w:rsidR="006E16AB" w:rsidRPr="006E16AB" w:rsidRDefault="006E16AB" w:rsidP="006E16AB"/>
    <w:p w14:paraId="1D14EFCC" w14:textId="77777777" w:rsidR="006E16AB" w:rsidRPr="006E16AB" w:rsidRDefault="006E16AB" w:rsidP="006E16AB">
      <w:pPr>
        <w:rPr>
          <w:b/>
          <w:bCs/>
        </w:rPr>
      </w:pPr>
      <w:r w:rsidRPr="006E16AB">
        <w:rPr>
          <w:b/>
          <w:bCs/>
        </w:rPr>
        <w:t>2. Ambito di applicazione</w:t>
      </w:r>
    </w:p>
    <w:p w14:paraId="47401D88" w14:textId="77777777" w:rsidR="006E16AB" w:rsidRPr="006E16AB" w:rsidRDefault="006E16AB" w:rsidP="006E16AB">
      <w:r w:rsidRPr="006E16AB">
        <w:t>Il sistema di conservazione si applica ai seguenti documenti informatici:</w:t>
      </w:r>
    </w:p>
    <w:p w14:paraId="01B9BBA2" w14:textId="77777777" w:rsidR="006E16AB" w:rsidRDefault="006E16AB" w:rsidP="006E16AB">
      <w:r w:rsidRPr="006E16AB">
        <w:t>Documenti prodotti dallo studio per la propria attività (es. fatture, CU, LUL); documenti prodotti per conto dei clienti (es. cedolini, dichiarazioni, bilanci); documenti ricevuti in formato digitale (es. fatture elettroniche XML, comunicazioni PEC); documenti analogici digitalizzati (es. contratti, deleghe, documentazione cartacea rilevante). Il perimetro copre sia i documenti obbligatori ai fini civilistici e fiscali, sia quelli rilevanti ai fini della protezione dei dati personali.</w:t>
      </w:r>
    </w:p>
    <w:p w14:paraId="6619AC73" w14:textId="77777777" w:rsidR="006E16AB" w:rsidRPr="006E16AB" w:rsidRDefault="006E16AB" w:rsidP="006E16AB"/>
    <w:p w14:paraId="4D5FE56E" w14:textId="77777777" w:rsidR="006E16AB" w:rsidRPr="006E16AB" w:rsidRDefault="006E16AB" w:rsidP="006E16AB">
      <w:pPr>
        <w:rPr>
          <w:b/>
          <w:bCs/>
        </w:rPr>
      </w:pPr>
      <w:r w:rsidRPr="006E16AB">
        <w:rPr>
          <w:b/>
          <w:bCs/>
        </w:rPr>
        <w:t>3. Soggetti coinvolti</w:t>
      </w:r>
    </w:p>
    <w:p w14:paraId="72F193E9" w14:textId="77777777" w:rsidR="006E16AB" w:rsidRPr="006E16AB" w:rsidRDefault="006E16AB" w:rsidP="006E16AB">
      <w:r w:rsidRPr="006E16AB">
        <w:t>Lo studio è il titolare del processo di conservazione e ne garantisce la conformità normativa. Il Responsabile della Conservazione è il soggetto incaricato della gestione e del presidio del sistema. Le sue responsabilità comprendono l’adozione e l’aggiornamento del presente Manuale, la definizione e la verifica delle procedure di versamento, il controllo sul rispetto delle regole tecniche, l’autorizzazione allo scarto documentale e la gestione della documentazione di audit e dei log.</w:t>
      </w:r>
    </w:p>
    <w:p w14:paraId="38C45884" w14:textId="77777777" w:rsidR="006E16AB" w:rsidRDefault="006E16AB" w:rsidP="006E16AB">
      <w:r w:rsidRPr="006E16AB">
        <w:t>Lo studio può avvalersi di un conservatore accreditato secondo contratto sottoscritto, nel rispetto delle Regole tecniche AgID. Tale soggetto esegue il servizio tecnico, fermo restando che la responsabilità ultima resta in capo al titolare del trattamento.</w:t>
      </w:r>
    </w:p>
    <w:p w14:paraId="5F45A135" w14:textId="77777777" w:rsidR="006E16AB" w:rsidRPr="006E16AB" w:rsidRDefault="006E16AB" w:rsidP="006E16AB"/>
    <w:p w14:paraId="5F8497FE" w14:textId="77777777" w:rsidR="006E16AB" w:rsidRPr="006E16AB" w:rsidRDefault="006E16AB" w:rsidP="006E16AB">
      <w:pPr>
        <w:rPr>
          <w:b/>
          <w:bCs/>
        </w:rPr>
      </w:pPr>
      <w:r w:rsidRPr="006E16AB">
        <w:rPr>
          <w:b/>
          <w:bCs/>
        </w:rPr>
        <w:t>4. Modalità di formazione dei documenti</w:t>
      </w:r>
    </w:p>
    <w:p w14:paraId="7CC7D585" w14:textId="77777777" w:rsidR="006E16AB" w:rsidRDefault="006E16AB" w:rsidP="006E16AB">
      <w:r w:rsidRPr="006E16AB">
        <w:t>I documenti oggetto di conservazione possono essere nativamente digitali, generati da gestionali interni; ricevuti in formato digitale strutturato o non strutturato; digitalizzati a partire da originali analogici, secondo le modalità previste dal CAD. Tutti i documenti, ove previsto, sono firmati digitalmente e marcati temporalmente prima del versamento.</w:t>
      </w:r>
    </w:p>
    <w:p w14:paraId="5C14EBB8" w14:textId="77777777" w:rsidR="006E16AB" w:rsidRPr="006E16AB" w:rsidRDefault="006E16AB" w:rsidP="006E16AB"/>
    <w:p w14:paraId="19573EE3" w14:textId="77777777" w:rsidR="006E16AB" w:rsidRPr="006E16AB" w:rsidRDefault="006E16AB" w:rsidP="006E16AB">
      <w:pPr>
        <w:rPr>
          <w:b/>
          <w:bCs/>
        </w:rPr>
      </w:pPr>
      <w:r w:rsidRPr="006E16AB">
        <w:rPr>
          <w:b/>
          <w:bCs/>
        </w:rPr>
        <w:t>5. Versamento nel sistema di conservazione</w:t>
      </w:r>
    </w:p>
    <w:p w14:paraId="43144FC6" w14:textId="77777777" w:rsidR="006E16AB" w:rsidRDefault="006E16AB" w:rsidP="006E16AB">
      <w:r w:rsidRPr="006E16AB">
        <w:t>Il versamento dei documenti nel sistema di conservazione avviene mediante interfaccia applicativa (API) integrata con il gestionale, a cadenza mensile, secondo un tracciato predefinito che include indice, identificativo univoco, data di creazione e metadati. Ogni versamento è soggetto a verifica a campione della completezza e correttezza dei file.</w:t>
      </w:r>
    </w:p>
    <w:p w14:paraId="0FBABCDB" w14:textId="77777777" w:rsidR="006E16AB" w:rsidRPr="006E16AB" w:rsidRDefault="006E16AB" w:rsidP="006E16AB"/>
    <w:p w14:paraId="7D453971" w14:textId="77777777" w:rsidR="006E16AB" w:rsidRPr="006E16AB" w:rsidRDefault="006E16AB" w:rsidP="006E16AB">
      <w:pPr>
        <w:rPr>
          <w:b/>
          <w:bCs/>
        </w:rPr>
      </w:pPr>
      <w:r w:rsidRPr="006E16AB">
        <w:rPr>
          <w:b/>
          <w:bCs/>
        </w:rPr>
        <w:t>6. Conservazione e gestione nel tempo</w:t>
      </w:r>
    </w:p>
    <w:p w14:paraId="63B98E13" w14:textId="77777777" w:rsidR="006E16AB" w:rsidRDefault="006E16AB" w:rsidP="006E16AB">
      <w:r w:rsidRPr="006E16AB">
        <w:t>I documenti versati sono conservati in formato PDF/A o XML, con integrità garantita da firma e marca temporale, in ambiente cloud certificato, secondo standard di sicurezza ISO 27001. L’accesso è consentito solo a soggetti autorizzati con credenziali nominali. La durata della conservazione è pari a 10 anni, salvo diverso obbligo normativo.</w:t>
      </w:r>
    </w:p>
    <w:p w14:paraId="385FE531" w14:textId="77777777" w:rsidR="006E16AB" w:rsidRDefault="006E16AB" w:rsidP="006E16AB"/>
    <w:p w14:paraId="57BBC62D" w14:textId="77777777" w:rsidR="006E16AB" w:rsidRPr="006E16AB" w:rsidRDefault="006E16AB" w:rsidP="006E16AB"/>
    <w:p w14:paraId="608C49A4" w14:textId="77777777" w:rsidR="006E16AB" w:rsidRPr="006E16AB" w:rsidRDefault="006E16AB" w:rsidP="006E16AB">
      <w:pPr>
        <w:rPr>
          <w:b/>
          <w:bCs/>
        </w:rPr>
      </w:pPr>
      <w:r w:rsidRPr="006E16AB">
        <w:rPr>
          <w:b/>
          <w:bCs/>
        </w:rPr>
        <w:lastRenderedPageBreak/>
        <w:t>7. Misure di sicurezza e protezione dei dati</w:t>
      </w:r>
    </w:p>
    <w:p w14:paraId="00F1F126" w14:textId="77777777" w:rsidR="006E16AB" w:rsidRDefault="006E16AB" w:rsidP="006E16AB">
      <w:r w:rsidRPr="006E16AB">
        <w:t>Il sistema garantisce tracciamento completo delle operazioni, backup giornaliero, log di sistema archiviati per almeno 20 anni, accesso sicuro con autenticazione forte e protezione dei dati personali in conformità al GDPR.</w:t>
      </w:r>
    </w:p>
    <w:p w14:paraId="1938FBC6" w14:textId="77777777" w:rsidR="006E16AB" w:rsidRPr="006E16AB" w:rsidRDefault="006E16AB" w:rsidP="006E16AB"/>
    <w:p w14:paraId="5CBCE6BD" w14:textId="77777777" w:rsidR="006E16AB" w:rsidRPr="006E16AB" w:rsidRDefault="006E16AB" w:rsidP="006E16AB">
      <w:pPr>
        <w:rPr>
          <w:b/>
          <w:bCs/>
        </w:rPr>
      </w:pPr>
      <w:r w:rsidRPr="006E16AB">
        <w:rPr>
          <w:b/>
          <w:bCs/>
        </w:rPr>
        <w:t>8. Scarto documentale</w:t>
      </w:r>
    </w:p>
    <w:p w14:paraId="55ECD9BF" w14:textId="77777777" w:rsidR="006E16AB" w:rsidRDefault="006E16AB" w:rsidP="006E16AB">
      <w:r w:rsidRPr="006E16AB">
        <w:t>Lo scarto dei documenti conservati avviene solo previa autorizzazione formale del Responsabile della Conservazione, al termine del ciclo previsto, con redazione di verbale firmato digitalmente e conservato nel sistema.</w:t>
      </w:r>
    </w:p>
    <w:p w14:paraId="692B0BFE" w14:textId="77777777" w:rsidR="006E16AB" w:rsidRPr="006E16AB" w:rsidRDefault="006E16AB" w:rsidP="006E16AB"/>
    <w:p w14:paraId="7A6A47B4" w14:textId="77777777" w:rsidR="006E16AB" w:rsidRPr="006E16AB" w:rsidRDefault="006E16AB" w:rsidP="006E16AB">
      <w:pPr>
        <w:rPr>
          <w:b/>
          <w:bCs/>
        </w:rPr>
      </w:pPr>
      <w:r w:rsidRPr="006E16AB">
        <w:rPr>
          <w:b/>
          <w:bCs/>
        </w:rPr>
        <w:t>9. Continuità operativa e reversibilità</w:t>
      </w:r>
    </w:p>
    <w:p w14:paraId="5A4DC3FE" w14:textId="77777777" w:rsidR="006E16AB" w:rsidRDefault="006E16AB" w:rsidP="006E16AB">
      <w:r w:rsidRPr="006E16AB">
        <w:t>Il contratto con il conservatore prevede un piano di disaster recovery e business continuity, tempi garantiti di accesso entro 24 ore in caso di indisponibilità, reversibilità dei documenti in caso di cessazione del rapporto e consegna degli archivi digitali in formato aperto.</w:t>
      </w:r>
    </w:p>
    <w:p w14:paraId="1D028F02" w14:textId="77777777" w:rsidR="006E16AB" w:rsidRPr="006E16AB" w:rsidRDefault="006E16AB" w:rsidP="006E16AB"/>
    <w:p w14:paraId="7464CDFF" w14:textId="77777777" w:rsidR="006E16AB" w:rsidRPr="006E16AB" w:rsidRDefault="006E16AB" w:rsidP="006E16AB">
      <w:pPr>
        <w:rPr>
          <w:b/>
          <w:bCs/>
        </w:rPr>
      </w:pPr>
      <w:r w:rsidRPr="006E16AB">
        <w:rPr>
          <w:b/>
          <w:bCs/>
        </w:rPr>
        <w:t>10. Audit, controlli e aggiornamento del manuale</w:t>
      </w:r>
    </w:p>
    <w:p w14:paraId="5A3FB0F6" w14:textId="77777777" w:rsidR="006E16AB" w:rsidRDefault="006E16AB" w:rsidP="006E16AB">
      <w:r w:rsidRPr="006E16AB">
        <w:t>Il Manuale è soggetto a revisione annuale o in caso di modifiche normative o organizzative. Il Responsabile conserva evidenza di ogni revisione, dei log e degli esiti di eventuali audit.</w:t>
      </w:r>
    </w:p>
    <w:p w14:paraId="39C473A8" w14:textId="77777777" w:rsidR="006E16AB" w:rsidRDefault="006E16AB" w:rsidP="006E16AB"/>
    <w:p w14:paraId="4CBD248E" w14:textId="77777777" w:rsidR="006E16AB" w:rsidRDefault="006E16AB" w:rsidP="006E16AB"/>
    <w:p w14:paraId="497571A3" w14:textId="77777777" w:rsidR="006E16AB" w:rsidRDefault="006E16AB" w:rsidP="006E16AB"/>
    <w:p w14:paraId="31DD4237" w14:textId="77777777" w:rsidR="006E16AB" w:rsidRPr="006E16AB" w:rsidRDefault="006E16AB" w:rsidP="006E16AB"/>
    <w:p w14:paraId="5874BAFC" w14:textId="77777777" w:rsidR="006E16AB" w:rsidRPr="006E16AB" w:rsidRDefault="006E16AB" w:rsidP="006E16AB">
      <w:pPr>
        <w:rPr>
          <w:b/>
          <w:bCs/>
        </w:rPr>
      </w:pPr>
      <w:r w:rsidRPr="006E16AB">
        <w:rPr>
          <w:b/>
          <w:bCs/>
        </w:rPr>
        <w:t>Allegati</w:t>
      </w:r>
    </w:p>
    <w:p w14:paraId="11364BC9" w14:textId="77777777" w:rsidR="006E16AB" w:rsidRPr="006E16AB" w:rsidRDefault="006E16AB" w:rsidP="006E16AB">
      <w:pPr>
        <w:numPr>
          <w:ilvl w:val="0"/>
          <w:numId w:val="1"/>
        </w:numPr>
      </w:pPr>
      <w:r w:rsidRPr="006E16AB">
        <w:t>Registro dei trattamenti (in caso di dati personali);</w:t>
      </w:r>
    </w:p>
    <w:p w14:paraId="6B06299F" w14:textId="77777777" w:rsidR="006E16AB" w:rsidRPr="006E16AB" w:rsidRDefault="006E16AB" w:rsidP="006E16AB">
      <w:pPr>
        <w:numPr>
          <w:ilvl w:val="0"/>
          <w:numId w:val="1"/>
        </w:numPr>
      </w:pPr>
      <w:r w:rsidRPr="006E16AB">
        <w:t>Fac-simile verbale di scarto;</w:t>
      </w:r>
    </w:p>
    <w:p w14:paraId="66779D2A" w14:textId="77777777" w:rsidR="006E16AB" w:rsidRPr="006E16AB" w:rsidRDefault="006E16AB" w:rsidP="006E16AB">
      <w:pPr>
        <w:numPr>
          <w:ilvl w:val="0"/>
          <w:numId w:val="1"/>
        </w:numPr>
      </w:pPr>
      <w:r w:rsidRPr="006E16AB">
        <w:t>Copia contratto con il conservatore;</w:t>
      </w:r>
    </w:p>
    <w:p w14:paraId="15D53D63" w14:textId="77777777" w:rsidR="006E16AB" w:rsidRPr="006E16AB" w:rsidRDefault="006E16AB" w:rsidP="006E16AB">
      <w:pPr>
        <w:numPr>
          <w:ilvl w:val="0"/>
          <w:numId w:val="1"/>
        </w:numPr>
      </w:pPr>
      <w:r w:rsidRPr="006E16AB">
        <w:t>Matrice delle responsabilità;</w:t>
      </w:r>
    </w:p>
    <w:p w14:paraId="30A0AC5F" w14:textId="77777777" w:rsidR="006E16AB" w:rsidRPr="006E16AB" w:rsidRDefault="006E16AB" w:rsidP="006E16AB">
      <w:pPr>
        <w:numPr>
          <w:ilvl w:val="0"/>
          <w:numId w:val="1"/>
        </w:numPr>
      </w:pPr>
      <w:r w:rsidRPr="006E16AB">
        <w:t>Nomina Responsabile della Conservazione.</w:t>
      </w:r>
    </w:p>
    <w:p w14:paraId="1EDAE05C" w14:textId="77777777" w:rsidR="0087045F" w:rsidRDefault="0087045F"/>
    <w:sectPr w:rsidR="0087045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C0AC" w14:textId="77777777" w:rsidR="000954FD" w:rsidRDefault="000954FD" w:rsidP="006E16AB">
      <w:r>
        <w:separator/>
      </w:r>
    </w:p>
  </w:endnote>
  <w:endnote w:type="continuationSeparator" w:id="0">
    <w:p w14:paraId="5143DB5B" w14:textId="77777777" w:rsidR="000954FD" w:rsidRDefault="000954FD" w:rsidP="006E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9F6D" w14:textId="77777777" w:rsidR="000954FD" w:rsidRDefault="000954FD" w:rsidP="006E16AB">
      <w:r>
        <w:separator/>
      </w:r>
    </w:p>
  </w:footnote>
  <w:footnote w:type="continuationSeparator" w:id="0">
    <w:p w14:paraId="4ED0D31A" w14:textId="77777777" w:rsidR="000954FD" w:rsidRDefault="000954FD" w:rsidP="006E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B094" w14:textId="37A1390C" w:rsidR="006E16AB" w:rsidRPr="006E16AB" w:rsidRDefault="006E16AB">
    <w:pPr>
      <w:pStyle w:val="Intestazione"/>
      <w:rPr>
        <w:i/>
        <w:iCs/>
      </w:rPr>
    </w:pPr>
    <w:r w:rsidRPr="006E16AB">
      <w:rPr>
        <w:i/>
        <w:iCs/>
      </w:rPr>
      <w:t>Manuale di conservazione digitale per lo Studio Professionale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091"/>
    <w:multiLevelType w:val="multilevel"/>
    <w:tmpl w:val="4274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77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AB"/>
    <w:rsid w:val="000954FD"/>
    <w:rsid w:val="00230DE2"/>
    <w:rsid w:val="00323A52"/>
    <w:rsid w:val="00530E2D"/>
    <w:rsid w:val="00571256"/>
    <w:rsid w:val="006C0860"/>
    <w:rsid w:val="006E16AB"/>
    <w:rsid w:val="0087045F"/>
    <w:rsid w:val="00A14ECB"/>
    <w:rsid w:val="00AE3A88"/>
    <w:rsid w:val="00C51AA9"/>
    <w:rsid w:val="00C84611"/>
    <w:rsid w:val="00D25F36"/>
    <w:rsid w:val="00D8345C"/>
    <w:rsid w:val="00D86F71"/>
    <w:rsid w:val="00F124B2"/>
    <w:rsid w:val="00FA4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DD67"/>
  <w15:chartTrackingRefBased/>
  <w15:docId w15:val="{E8939FE5-D67D-48C1-8F13-87B05D9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AA9"/>
  </w:style>
  <w:style w:type="paragraph" w:styleId="Titolo1">
    <w:name w:val="heading 1"/>
    <w:basedOn w:val="Normale"/>
    <w:next w:val="Normale"/>
    <w:link w:val="Titolo1Carattere"/>
    <w:uiPriority w:val="9"/>
    <w:qFormat/>
    <w:rsid w:val="00C51AA9"/>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semiHidden/>
    <w:unhideWhenUsed/>
    <w:qFormat/>
    <w:rsid w:val="00C51AA9"/>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51AA9"/>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51AA9"/>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semiHidden/>
    <w:unhideWhenUsed/>
    <w:qFormat/>
    <w:rsid w:val="00C51AA9"/>
    <w:pPr>
      <w:keepNext/>
      <w:keepLines/>
      <w:spacing w:before="4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semiHidden/>
    <w:unhideWhenUsed/>
    <w:qFormat/>
    <w:rsid w:val="00C51AA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rsid w:val="00C51AA9"/>
    <w:pPr>
      <w:keepNext/>
      <w:keepLines/>
      <w:spacing w:before="4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rsid w:val="00C51AA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rsid w:val="00C51AA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1AA9"/>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semiHidden/>
    <w:rsid w:val="00C51AA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51AA9"/>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51AA9"/>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semiHidden/>
    <w:rsid w:val="00C51AA9"/>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semiHidden/>
    <w:rsid w:val="00C51AA9"/>
    <w:rPr>
      <w:rFonts w:asciiTheme="majorHAnsi" w:eastAsiaTheme="majorEastAsia" w:hAnsiTheme="majorHAnsi" w:cstheme="majorBidi"/>
      <w:i/>
      <w:iCs/>
      <w:caps/>
      <w:color w:val="1F3864" w:themeColor="accent1" w:themeShade="80"/>
    </w:rPr>
  </w:style>
  <w:style w:type="character" w:customStyle="1" w:styleId="Titolo7Carattere">
    <w:name w:val="Titolo 7 Carattere"/>
    <w:basedOn w:val="Carpredefinitoparagrafo"/>
    <w:link w:val="Titolo7"/>
    <w:uiPriority w:val="9"/>
    <w:semiHidden/>
    <w:rsid w:val="00C51AA9"/>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C51AA9"/>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C51AA9"/>
    <w:rPr>
      <w:rFonts w:asciiTheme="majorHAnsi" w:eastAsiaTheme="majorEastAsia" w:hAnsiTheme="majorHAnsi" w:cstheme="majorBidi"/>
      <w:i/>
      <w:iCs/>
      <w:color w:val="1F3864" w:themeColor="accent1" w:themeShade="80"/>
    </w:rPr>
  </w:style>
  <w:style w:type="paragraph" w:styleId="Titolo">
    <w:name w:val="Title"/>
    <w:basedOn w:val="Normale"/>
    <w:next w:val="Normale"/>
    <w:link w:val="TitoloCarattere"/>
    <w:uiPriority w:val="10"/>
    <w:qFormat/>
    <w:rsid w:val="00C51AA9"/>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C51AA9"/>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C51AA9"/>
    <w:pPr>
      <w:numPr>
        <w:ilvl w:val="1"/>
      </w:numPr>
      <w:spacing w:after="240"/>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C51AA9"/>
    <w:rPr>
      <w:rFonts w:asciiTheme="majorHAnsi" w:eastAsiaTheme="majorEastAsia" w:hAnsiTheme="majorHAnsi" w:cstheme="majorBidi"/>
      <w:color w:val="4472C4" w:themeColor="accent1"/>
      <w:sz w:val="28"/>
      <w:szCs w:val="28"/>
    </w:rPr>
  </w:style>
  <w:style w:type="paragraph" w:styleId="Paragrafoelenco">
    <w:name w:val="List Paragraph"/>
    <w:basedOn w:val="Normale"/>
    <w:uiPriority w:val="34"/>
    <w:qFormat/>
    <w:rsid w:val="00C51AA9"/>
    <w:pPr>
      <w:ind w:left="720"/>
      <w:contextualSpacing/>
    </w:pPr>
  </w:style>
  <w:style w:type="paragraph" w:styleId="Citazione">
    <w:name w:val="Quote"/>
    <w:basedOn w:val="Normale"/>
    <w:next w:val="Normale"/>
    <w:link w:val="CitazioneCarattere"/>
    <w:uiPriority w:val="29"/>
    <w:qFormat/>
    <w:rsid w:val="00C51AA9"/>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C51AA9"/>
    <w:rPr>
      <w:color w:val="44546A" w:themeColor="text2"/>
      <w:sz w:val="24"/>
      <w:szCs w:val="24"/>
    </w:rPr>
  </w:style>
  <w:style w:type="paragraph" w:styleId="Citazioneintensa">
    <w:name w:val="Intense Quote"/>
    <w:basedOn w:val="Normale"/>
    <w:next w:val="Normale"/>
    <w:link w:val="CitazioneintensaCarattere"/>
    <w:uiPriority w:val="30"/>
    <w:qFormat/>
    <w:rsid w:val="00C51AA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C51AA9"/>
    <w:rPr>
      <w:rFonts w:asciiTheme="majorHAnsi" w:eastAsiaTheme="majorEastAsia" w:hAnsiTheme="majorHAnsi" w:cstheme="majorBidi"/>
      <w:color w:val="44546A" w:themeColor="text2"/>
      <w:spacing w:val="-6"/>
      <w:sz w:val="32"/>
      <w:szCs w:val="32"/>
    </w:rPr>
  </w:style>
  <w:style w:type="character" w:styleId="Enfasiintensa">
    <w:name w:val="Intense Emphasis"/>
    <w:basedOn w:val="Carpredefinitoparagrafo"/>
    <w:uiPriority w:val="21"/>
    <w:qFormat/>
    <w:rsid w:val="00C51AA9"/>
    <w:rPr>
      <w:b/>
      <w:bCs/>
      <w:i/>
      <w:iCs/>
    </w:rPr>
  </w:style>
  <w:style w:type="character" w:styleId="Riferimentointenso">
    <w:name w:val="Intense Reference"/>
    <w:basedOn w:val="Carpredefinitoparagrafo"/>
    <w:uiPriority w:val="32"/>
    <w:qFormat/>
    <w:rsid w:val="00C51AA9"/>
    <w:rPr>
      <w:b/>
      <w:bCs/>
      <w:smallCaps/>
      <w:color w:val="44546A" w:themeColor="text2"/>
      <w:u w:val="single"/>
    </w:rPr>
  </w:style>
  <w:style w:type="paragraph" w:styleId="Didascalia">
    <w:name w:val="caption"/>
    <w:basedOn w:val="Normale"/>
    <w:next w:val="Normale"/>
    <w:uiPriority w:val="35"/>
    <w:semiHidden/>
    <w:unhideWhenUsed/>
    <w:qFormat/>
    <w:rsid w:val="00C51AA9"/>
    <w:rPr>
      <w:b/>
      <w:bCs/>
      <w:smallCaps/>
      <w:color w:val="44546A" w:themeColor="text2"/>
    </w:rPr>
  </w:style>
  <w:style w:type="character" w:styleId="Enfasigrassetto">
    <w:name w:val="Strong"/>
    <w:basedOn w:val="Carpredefinitoparagrafo"/>
    <w:uiPriority w:val="22"/>
    <w:qFormat/>
    <w:rsid w:val="00C51AA9"/>
    <w:rPr>
      <w:b/>
      <w:bCs/>
    </w:rPr>
  </w:style>
  <w:style w:type="character" w:styleId="Enfasicorsivo">
    <w:name w:val="Emphasis"/>
    <w:basedOn w:val="Carpredefinitoparagrafo"/>
    <w:uiPriority w:val="20"/>
    <w:qFormat/>
    <w:rsid w:val="00C51AA9"/>
    <w:rPr>
      <w:i/>
      <w:iCs/>
    </w:rPr>
  </w:style>
  <w:style w:type="paragraph" w:styleId="Nessunaspaziatura">
    <w:name w:val="No Spacing"/>
    <w:uiPriority w:val="1"/>
    <w:qFormat/>
    <w:rsid w:val="00C51AA9"/>
  </w:style>
  <w:style w:type="character" w:styleId="Enfasidelicata">
    <w:name w:val="Subtle Emphasis"/>
    <w:basedOn w:val="Carpredefinitoparagrafo"/>
    <w:uiPriority w:val="19"/>
    <w:qFormat/>
    <w:rsid w:val="00C51AA9"/>
    <w:rPr>
      <w:i/>
      <w:iCs/>
      <w:color w:val="595959" w:themeColor="text1" w:themeTint="A6"/>
    </w:rPr>
  </w:style>
  <w:style w:type="character" w:styleId="Riferimentodelicato">
    <w:name w:val="Subtle Reference"/>
    <w:basedOn w:val="Carpredefinitoparagrafo"/>
    <w:uiPriority w:val="31"/>
    <w:qFormat/>
    <w:rsid w:val="00C51AA9"/>
    <w:rPr>
      <w:smallCaps/>
      <w:color w:val="595959" w:themeColor="text1" w:themeTint="A6"/>
      <w:u w:val="none" w:color="7F7F7F" w:themeColor="text1" w:themeTint="80"/>
      <w:bdr w:val="none" w:sz="0" w:space="0" w:color="auto"/>
    </w:rPr>
  </w:style>
  <w:style w:type="character" w:styleId="Titolodellibro">
    <w:name w:val="Book Title"/>
    <w:basedOn w:val="Carpredefinitoparagrafo"/>
    <w:uiPriority w:val="33"/>
    <w:qFormat/>
    <w:rsid w:val="00C51AA9"/>
    <w:rPr>
      <w:b/>
      <w:bCs/>
      <w:smallCaps/>
      <w:spacing w:val="10"/>
    </w:rPr>
  </w:style>
  <w:style w:type="paragraph" w:styleId="Titolosommario">
    <w:name w:val="TOC Heading"/>
    <w:basedOn w:val="Titolo1"/>
    <w:next w:val="Normale"/>
    <w:uiPriority w:val="39"/>
    <w:semiHidden/>
    <w:unhideWhenUsed/>
    <w:qFormat/>
    <w:rsid w:val="00C51AA9"/>
    <w:pPr>
      <w:outlineLvl w:val="9"/>
    </w:pPr>
  </w:style>
  <w:style w:type="paragraph" w:styleId="Intestazione">
    <w:name w:val="header"/>
    <w:basedOn w:val="Normale"/>
    <w:link w:val="IntestazioneCarattere"/>
    <w:uiPriority w:val="99"/>
    <w:unhideWhenUsed/>
    <w:rsid w:val="006E16AB"/>
    <w:pPr>
      <w:tabs>
        <w:tab w:val="center" w:pos="4819"/>
        <w:tab w:val="right" w:pos="9638"/>
      </w:tabs>
    </w:pPr>
  </w:style>
  <w:style w:type="character" w:customStyle="1" w:styleId="IntestazioneCarattere">
    <w:name w:val="Intestazione Carattere"/>
    <w:basedOn w:val="Carpredefinitoparagrafo"/>
    <w:link w:val="Intestazione"/>
    <w:uiPriority w:val="99"/>
    <w:rsid w:val="006E16AB"/>
  </w:style>
  <w:style w:type="paragraph" w:styleId="Pidipagina">
    <w:name w:val="footer"/>
    <w:basedOn w:val="Normale"/>
    <w:link w:val="PidipaginaCarattere"/>
    <w:uiPriority w:val="99"/>
    <w:unhideWhenUsed/>
    <w:rsid w:val="006E16AB"/>
    <w:pPr>
      <w:tabs>
        <w:tab w:val="center" w:pos="4819"/>
        <w:tab w:val="right" w:pos="9638"/>
      </w:tabs>
    </w:pPr>
  </w:style>
  <w:style w:type="character" w:customStyle="1" w:styleId="PidipaginaCarattere">
    <w:name w:val="Piè di pagina Carattere"/>
    <w:basedOn w:val="Carpredefinitoparagrafo"/>
    <w:link w:val="Pidipagina"/>
    <w:uiPriority w:val="99"/>
    <w:rsid w:val="006E1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zato Barbar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7059</Characters>
  <Application>Microsoft Office Word</Application>
  <DocSecurity>0</DocSecurity>
  <Lines>113</Lines>
  <Paragraphs>44</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Garbelli</dc:creator>
  <cp:keywords/>
  <dc:description/>
  <cp:lastModifiedBy>Barbara Garbelli</cp:lastModifiedBy>
  <cp:revision>1</cp:revision>
  <dcterms:created xsi:type="dcterms:W3CDTF">2025-08-02T11:10:00Z</dcterms:created>
  <dcterms:modified xsi:type="dcterms:W3CDTF">2025-08-02T11:13:00Z</dcterms:modified>
</cp:coreProperties>
</file>